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11D9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9CF">
        <w:rPr>
          <w:rFonts w:asciiTheme="minorHAnsi" w:hAnsiTheme="minorHAnsi" w:cstheme="minorHAnsi"/>
          <w:b/>
          <w:sz w:val="22"/>
          <w:szCs w:val="22"/>
          <w:u w:val="single"/>
        </w:rPr>
        <w:t>NOTICE AND INSTRUCTIONS TO BIDDERS</w:t>
      </w:r>
    </w:p>
    <w:p w14:paraId="17539E7B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F396B1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>ElectriCities of NC, Inc.</w:t>
      </w:r>
    </w:p>
    <w:p w14:paraId="04E9057B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>David E. Lucore, Electric Systems Manager</w:t>
      </w:r>
    </w:p>
    <w:p w14:paraId="7A83F8DA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>(704) 659-7375</w:t>
      </w:r>
    </w:p>
    <w:p w14:paraId="33EEB3BD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>On Behalf of the</w:t>
      </w:r>
    </w:p>
    <w:p w14:paraId="67722CE7" w14:textId="77777777" w:rsidR="00B763CA" w:rsidRPr="008700F5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 xml:space="preserve">Town of </w:t>
      </w:r>
      <w:r>
        <w:rPr>
          <w:rFonts w:asciiTheme="minorHAnsi" w:hAnsiTheme="minorHAnsi" w:cstheme="minorHAnsi"/>
          <w:sz w:val="22"/>
          <w:szCs w:val="22"/>
        </w:rPr>
        <w:t>Pineville</w:t>
      </w:r>
      <w:r w:rsidRPr="00B449CF">
        <w:rPr>
          <w:rFonts w:asciiTheme="minorHAnsi" w:hAnsiTheme="minorHAnsi" w:cstheme="minorHAnsi"/>
          <w:sz w:val="22"/>
          <w:szCs w:val="22"/>
        </w:rPr>
        <w:t>, NC</w:t>
      </w:r>
    </w:p>
    <w:p w14:paraId="2231928E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</w:p>
    <w:p w14:paraId="62D015FE" w14:textId="77777777" w:rsidR="00B763CA" w:rsidRPr="00B449CF" w:rsidRDefault="00B763CA" w:rsidP="00B763CA">
      <w:pPr>
        <w:tabs>
          <w:tab w:val="left" w:pos="5220"/>
        </w:tabs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 xml:space="preserve">Sealed bids are being sought by </w:t>
      </w:r>
      <w:bookmarkStart w:id="0" w:name="_Hlk128995759"/>
      <w:r w:rsidRPr="00B449CF">
        <w:rPr>
          <w:rFonts w:asciiTheme="minorHAnsi" w:hAnsiTheme="minorHAnsi" w:cstheme="minorHAnsi"/>
          <w:sz w:val="22"/>
          <w:szCs w:val="22"/>
        </w:rPr>
        <w:t xml:space="preserve">ElectriCities of NC, Inc. on behalf of the Town of </w:t>
      </w:r>
      <w:r>
        <w:rPr>
          <w:rFonts w:asciiTheme="minorHAnsi" w:hAnsiTheme="minorHAnsi" w:cstheme="minorHAnsi"/>
          <w:sz w:val="22"/>
          <w:szCs w:val="22"/>
        </w:rPr>
        <w:t>Pineville</w:t>
      </w:r>
      <w:r w:rsidRPr="00B449CF">
        <w:rPr>
          <w:rFonts w:asciiTheme="minorHAnsi" w:hAnsiTheme="minorHAnsi" w:cstheme="minorHAnsi"/>
          <w:sz w:val="22"/>
          <w:szCs w:val="22"/>
        </w:rPr>
        <w:t>, NC (hereinafter referred to as “</w:t>
      </w:r>
      <w:r w:rsidRPr="00B449CF">
        <w:rPr>
          <w:rFonts w:asciiTheme="minorHAnsi" w:hAnsiTheme="minorHAnsi" w:cstheme="minorHAnsi"/>
          <w:b/>
          <w:bCs/>
          <w:sz w:val="22"/>
          <w:szCs w:val="22"/>
        </w:rPr>
        <w:t>Owner</w:t>
      </w:r>
      <w:r w:rsidRPr="00B449CF">
        <w:rPr>
          <w:rFonts w:asciiTheme="minorHAnsi" w:hAnsiTheme="minorHAnsi" w:cstheme="minorHAnsi"/>
          <w:sz w:val="22"/>
          <w:szCs w:val="22"/>
        </w:rPr>
        <w:t xml:space="preserve">”) for the furnishing of 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Underground and Directional Boring Services</w:t>
      </w:r>
      <w:r w:rsidRPr="00B449CF">
        <w:rPr>
          <w:rFonts w:asciiTheme="minorHAnsi" w:hAnsiTheme="minorHAnsi" w:cstheme="minorHAnsi"/>
          <w:sz w:val="22"/>
          <w:szCs w:val="22"/>
        </w:rPr>
        <w:t xml:space="preserve"> including labor and equipment for construction and maintenance on the Town’s 7.2/12.47 kV electric distribution system for Fiscal Year 24. This is a </w:t>
      </w:r>
      <w:r w:rsidRPr="00B449CF">
        <w:rPr>
          <w:rFonts w:asciiTheme="minorHAnsi" w:hAnsiTheme="minorHAnsi" w:cstheme="minorHAnsi"/>
          <w:b/>
          <w:sz w:val="22"/>
          <w:szCs w:val="22"/>
        </w:rPr>
        <w:t>sealed formal bid</w:t>
      </w:r>
      <w:r w:rsidRPr="00B449CF">
        <w:rPr>
          <w:rFonts w:asciiTheme="minorHAnsi" w:hAnsiTheme="minorHAnsi" w:cstheme="minorHAnsi"/>
          <w:sz w:val="22"/>
          <w:szCs w:val="22"/>
        </w:rPr>
        <w:t xml:space="preserve"> according to NCGS § 143-129. </w:t>
      </w:r>
    </w:p>
    <w:p w14:paraId="63E8AB41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</w:p>
    <w:p w14:paraId="6FFED1B9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 xml:space="preserve">A bid package may be obtained </w:t>
      </w:r>
      <w:r>
        <w:rPr>
          <w:rFonts w:asciiTheme="minorHAnsi" w:hAnsiTheme="minorHAnsi" w:cstheme="minorHAnsi"/>
          <w:sz w:val="22"/>
          <w:szCs w:val="22"/>
        </w:rPr>
        <w:t xml:space="preserve">from the Managing Agent for the Owner </w:t>
      </w:r>
      <w:r w:rsidRPr="00B449CF">
        <w:rPr>
          <w:rFonts w:asciiTheme="minorHAnsi" w:hAnsiTheme="minorHAnsi" w:cstheme="minorHAnsi"/>
          <w:sz w:val="22"/>
          <w:szCs w:val="22"/>
        </w:rPr>
        <w:t xml:space="preserve">by e-mail request to </w:t>
      </w:r>
      <w:hyperlink r:id="rId4" w:history="1">
        <w:r w:rsidRPr="00B449CF">
          <w:rPr>
            <w:rStyle w:val="Hyperlink"/>
            <w:rFonts w:asciiTheme="minorHAnsi" w:hAnsiTheme="minorHAnsi" w:cstheme="minorHAnsi"/>
            <w:sz w:val="22"/>
            <w:szCs w:val="22"/>
          </w:rPr>
          <w:t>dlucore@electricities.org</w:t>
        </w:r>
      </w:hyperlink>
      <w:r w:rsidRPr="00B449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C0A2BE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</w:p>
    <w:p w14:paraId="0230024F" w14:textId="0569E59E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>You may mail your bid or hand deliver to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ElectriCities of NC, Inc., Town of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Pineville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NC,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505 Main St.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Pineville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, NC 28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134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; ATTN:  David Lucore</w:t>
      </w:r>
      <w:r w:rsidRPr="00B449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49CF">
        <w:rPr>
          <w:rFonts w:asciiTheme="minorHAnsi" w:hAnsiTheme="minorHAnsi" w:cstheme="minorHAnsi"/>
          <w:sz w:val="22"/>
          <w:szCs w:val="22"/>
        </w:rPr>
        <w:t xml:space="preserve">with 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Sealed Bid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Town of Pineville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B449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Underground and Directional Boring Services, Do Not Open Until 10 am, June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2023, </w:t>
      </w:r>
      <w:r w:rsidRPr="00B449CF">
        <w:rPr>
          <w:rFonts w:asciiTheme="minorHAnsi" w:hAnsiTheme="minorHAnsi" w:cstheme="minorHAnsi"/>
          <w:sz w:val="22"/>
          <w:szCs w:val="22"/>
        </w:rPr>
        <w:t>indicated on outside of envelope.</w:t>
      </w:r>
      <w:r w:rsidRPr="00B449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D5356B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C6EFD80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eastAsia="Calibri" w:hAnsiTheme="minorHAnsi" w:cstheme="minorHAnsi"/>
          <w:b/>
          <w:bCs/>
          <w:kern w:val="0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 xml:space="preserve">Bid(s) must be returned on the attached proposal sheet showing unit prices fully extended and the proposal page completed in its entirety by 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June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, 2023, at 10 AM.</w:t>
      </w:r>
      <w:r w:rsidRPr="00B449CF">
        <w:rPr>
          <w:rFonts w:asciiTheme="minorHAnsi" w:hAnsiTheme="minorHAnsi" w:cstheme="minorHAnsi"/>
          <w:sz w:val="22"/>
          <w:szCs w:val="22"/>
        </w:rPr>
        <w:t xml:space="preserve"> Bidder will be required to comply with all applicable statutes and regulations. </w:t>
      </w:r>
      <w:r w:rsidRPr="00B449CF">
        <w:rPr>
          <w:rFonts w:asciiTheme="minorHAnsi" w:eastAsia="Calibri" w:hAnsiTheme="minorHAnsi" w:cstheme="minorHAnsi"/>
          <w:kern w:val="0"/>
          <w:sz w:val="22"/>
          <w:szCs w:val="22"/>
        </w:rPr>
        <w:t xml:space="preserve">Bidder is responsible for the timely delivery of their bid before the deadline. </w:t>
      </w:r>
      <w:r w:rsidRPr="00B449CF">
        <w:rPr>
          <w:rFonts w:asciiTheme="minorHAnsi" w:eastAsia="Calibri" w:hAnsiTheme="minorHAnsi" w:cstheme="minorHAnsi"/>
          <w:b/>
          <w:bCs/>
          <w:kern w:val="0"/>
          <w:sz w:val="22"/>
          <w:szCs w:val="22"/>
        </w:rPr>
        <w:t>All bids received after this time will be immediately rejected and returned to the bidder unopened.</w:t>
      </w:r>
    </w:p>
    <w:p w14:paraId="08FFE7BE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eastAsia="Calibri" w:hAnsiTheme="minorHAnsi" w:cstheme="minorHAnsi"/>
          <w:b/>
          <w:bCs/>
          <w:kern w:val="0"/>
          <w:sz w:val="22"/>
          <w:szCs w:val="22"/>
        </w:rPr>
      </w:pPr>
    </w:p>
    <w:p w14:paraId="5C6A1CD1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</w:rPr>
      </w:pPr>
      <w:bookmarkStart w:id="1" w:name="_Hlk100139504"/>
      <w:r w:rsidRPr="00B449CF">
        <w:rPr>
          <w:rFonts w:asciiTheme="minorHAnsi" w:hAnsiTheme="minorHAnsi" w:cstheme="minorHAnsi"/>
          <w:kern w:val="0"/>
          <w:sz w:val="22"/>
          <w:szCs w:val="22"/>
        </w:rPr>
        <w:t xml:space="preserve">A public bid opening will be held at </w:t>
      </w:r>
      <w:r w:rsidRPr="00B449CF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10</w:t>
      </w:r>
      <w:r w:rsidRPr="00B449CF">
        <w:rPr>
          <w:rFonts w:asciiTheme="minorHAnsi" w:hAnsiTheme="minorHAnsi" w:cstheme="minorHAnsi"/>
          <w:kern w:val="0"/>
          <w:sz w:val="22"/>
          <w:szCs w:val="22"/>
          <w:u w:val="single"/>
        </w:rPr>
        <w:t xml:space="preserve"> </w:t>
      </w:r>
      <w:r w:rsidRPr="00B449CF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AM EST on June 2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8</w:t>
      </w:r>
      <w:r w:rsidRPr="00B449CF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, 2023,</w:t>
      </w:r>
      <w:r w:rsidRPr="00B449CF">
        <w:rPr>
          <w:rFonts w:asciiTheme="minorHAnsi" w:hAnsiTheme="minorHAnsi" w:cstheme="minorHAnsi"/>
          <w:kern w:val="0"/>
          <w:sz w:val="22"/>
          <w:szCs w:val="22"/>
        </w:rPr>
        <w:t xml:space="preserve"> at the Town of </w:t>
      </w:r>
      <w:r>
        <w:rPr>
          <w:rFonts w:asciiTheme="minorHAnsi" w:hAnsiTheme="minorHAnsi" w:cstheme="minorHAnsi"/>
          <w:kern w:val="0"/>
          <w:sz w:val="22"/>
          <w:szCs w:val="22"/>
        </w:rPr>
        <w:t>Pineville</w:t>
      </w:r>
      <w:r w:rsidRPr="00B449CF">
        <w:rPr>
          <w:rFonts w:asciiTheme="minorHAnsi" w:hAnsiTheme="minorHAnsi" w:cstheme="minorHAnsi"/>
          <w:kern w:val="0"/>
          <w:sz w:val="22"/>
          <w:szCs w:val="22"/>
        </w:rPr>
        <w:t xml:space="preserve"> Town Hall Conference Room, located at </w:t>
      </w:r>
      <w:r>
        <w:rPr>
          <w:rFonts w:asciiTheme="minorHAnsi" w:hAnsiTheme="minorHAnsi" w:cstheme="minorHAnsi"/>
          <w:kern w:val="0"/>
          <w:sz w:val="22"/>
          <w:szCs w:val="22"/>
        </w:rPr>
        <w:t>505 Main St.</w:t>
      </w:r>
      <w:r w:rsidRPr="00B449CF">
        <w:rPr>
          <w:rFonts w:asciiTheme="minorHAnsi" w:hAnsiTheme="minorHAnsi" w:cstheme="minorHAnsi"/>
          <w:kern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kern w:val="0"/>
          <w:sz w:val="22"/>
          <w:szCs w:val="22"/>
        </w:rPr>
        <w:t>Pineville</w:t>
      </w:r>
      <w:r w:rsidRPr="00B449CF">
        <w:rPr>
          <w:rFonts w:asciiTheme="minorHAnsi" w:hAnsiTheme="minorHAnsi" w:cstheme="minorHAnsi"/>
          <w:kern w:val="0"/>
          <w:sz w:val="22"/>
          <w:szCs w:val="22"/>
        </w:rPr>
        <w:t>, NC 28</w:t>
      </w:r>
      <w:r>
        <w:rPr>
          <w:rFonts w:asciiTheme="minorHAnsi" w:hAnsiTheme="minorHAnsi" w:cstheme="minorHAnsi"/>
          <w:kern w:val="0"/>
          <w:sz w:val="22"/>
          <w:szCs w:val="22"/>
        </w:rPr>
        <w:t>134</w:t>
      </w:r>
      <w:r w:rsidRPr="00B449CF">
        <w:rPr>
          <w:rFonts w:asciiTheme="minorHAnsi" w:hAnsiTheme="minorHAnsi" w:cstheme="minorHAnsi"/>
          <w:kern w:val="0"/>
          <w:sz w:val="22"/>
          <w:szCs w:val="22"/>
        </w:rPr>
        <w:t>. At this time, the bids will be opened and read</w:t>
      </w:r>
      <w:bookmarkEnd w:id="1"/>
      <w:r w:rsidRPr="00B449CF">
        <w:rPr>
          <w:rFonts w:asciiTheme="minorHAnsi" w:hAnsiTheme="minorHAnsi" w:cstheme="minorHAnsi"/>
          <w:kern w:val="0"/>
          <w:sz w:val="22"/>
          <w:szCs w:val="22"/>
        </w:rPr>
        <w:t xml:space="preserve"> publicly.</w:t>
      </w:r>
    </w:p>
    <w:p w14:paraId="6DE071FD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681DE9C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 xml:space="preserve">All bids must be valid for the period from July 1, 2023, to June 30, 2024, pending Council approval and award of bid. </w:t>
      </w:r>
    </w:p>
    <w:p w14:paraId="4F45EF7F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</w:p>
    <w:p w14:paraId="4901B965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ElectriCities of NC, Inc., and the Town of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Pineville</w:t>
      </w:r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proofErr w:type="gramEnd"/>
      <w:r w:rsidRPr="00B449C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reserve the right to reject any and/or all bids received, and to select the bid which is in the best overall interest of the Town of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Pineville</w:t>
      </w:r>
      <w:r w:rsidRPr="00B449CF">
        <w:rPr>
          <w:rFonts w:asciiTheme="minorHAnsi" w:hAnsiTheme="minorHAnsi" w:cstheme="minorHAnsi"/>
          <w:b/>
          <w:bCs/>
          <w:sz w:val="22"/>
          <w:szCs w:val="22"/>
        </w:rPr>
        <w:t>. Awards will be based upon the lowest cost, most responsive bidder.</w:t>
      </w:r>
    </w:p>
    <w:p w14:paraId="623244DC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</w:p>
    <w:p w14:paraId="3D889EB6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  <w:r w:rsidRPr="00B449CF">
        <w:rPr>
          <w:rFonts w:asciiTheme="minorHAnsi" w:hAnsiTheme="minorHAnsi" w:cstheme="minorHAnsi"/>
          <w:sz w:val="22"/>
          <w:szCs w:val="22"/>
        </w:rPr>
        <w:t>Incomplete bids or those lacking the required information will be rejected. The Owner reserves the right to waive minor defects and informalities that would not prejudice other bidders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449CF">
        <w:rPr>
          <w:rFonts w:asciiTheme="minorHAnsi" w:hAnsiTheme="minorHAnsi" w:cstheme="minorHAnsi"/>
          <w:sz w:val="22"/>
          <w:szCs w:val="22"/>
        </w:rPr>
        <w:t xml:space="preserve"> and which speak to the responsiveness of the bid. Mathematical errors may be grounds for removal of bid as set forth in NCGS </w:t>
      </w:r>
      <w:bookmarkStart w:id="2" w:name="_Hlk138060711"/>
      <w:r w:rsidRPr="00B449CF">
        <w:rPr>
          <w:rFonts w:asciiTheme="minorHAnsi" w:hAnsiTheme="minorHAnsi" w:cstheme="minorHAnsi"/>
          <w:sz w:val="22"/>
          <w:szCs w:val="22"/>
        </w:rPr>
        <w:t>§</w:t>
      </w:r>
      <w:bookmarkEnd w:id="2"/>
      <w:r w:rsidRPr="00B449CF">
        <w:rPr>
          <w:rFonts w:asciiTheme="minorHAnsi" w:hAnsiTheme="minorHAnsi" w:cstheme="minorHAnsi"/>
          <w:sz w:val="22"/>
          <w:szCs w:val="22"/>
        </w:rPr>
        <w:t xml:space="preserve"> 143-129.1.</w:t>
      </w:r>
    </w:p>
    <w:p w14:paraId="3D3D9072" w14:textId="77777777" w:rsidR="00B763CA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DDB4791" w14:textId="77777777" w:rsidR="00B763CA" w:rsidRPr="00B449CF" w:rsidRDefault="00B763CA" w:rsidP="00B763CA">
      <w:pPr>
        <w:tabs>
          <w:tab w:val="left" w:pos="5220"/>
          <w:tab w:val="left" w:pos="5940"/>
          <w:tab w:val="left" w:pos="6300"/>
          <w:tab w:val="left" w:pos="6390"/>
          <w:tab w:val="left" w:pos="7020"/>
          <w:tab w:val="left" w:pos="7380"/>
          <w:tab w:val="left" w:pos="7470"/>
          <w:tab w:val="left" w:pos="8280"/>
          <w:tab w:val="left" w:pos="8820"/>
          <w:tab w:val="left" w:pos="10080"/>
          <w:tab w:val="left" w:pos="10170"/>
        </w:tabs>
        <w:rPr>
          <w:rFonts w:asciiTheme="minorHAnsi" w:hAnsiTheme="minorHAnsi" w:cstheme="minorHAnsi"/>
          <w:sz w:val="22"/>
          <w:szCs w:val="22"/>
        </w:rPr>
      </w:pPr>
      <w:r w:rsidRPr="00EB58B5">
        <w:rPr>
          <w:rFonts w:asciiTheme="minorHAnsi" w:hAnsiTheme="minorHAnsi" w:cstheme="minorHAnsi"/>
          <w:sz w:val="22"/>
          <w:szCs w:val="22"/>
        </w:rPr>
        <w:t>Contractors shall hold State of North Carolina Contractor’s License(s) of the class required to perform the specified work. Contractor’s License number shall be included in the proposal to be considered.</w:t>
      </w:r>
      <w:bookmarkEnd w:id="0"/>
    </w:p>
    <w:p w14:paraId="2EEBDDFE" w14:textId="77777777" w:rsidR="00EE4769" w:rsidRDefault="00EE4769"/>
    <w:sectPr w:rsidR="00EE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CA"/>
    <w:rsid w:val="0055499A"/>
    <w:rsid w:val="00B763CA"/>
    <w:rsid w:val="00E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30B0"/>
  <w15:chartTrackingRefBased/>
  <w15:docId w15:val="{40E82D62-2CD4-4C0C-984B-EC07973B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3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ucore@electric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Lucore</dc:creator>
  <cp:keywords/>
  <dc:description/>
  <cp:lastModifiedBy>Lisa Snyder</cp:lastModifiedBy>
  <cp:revision>2</cp:revision>
  <dcterms:created xsi:type="dcterms:W3CDTF">2023-06-20T12:00:00Z</dcterms:created>
  <dcterms:modified xsi:type="dcterms:W3CDTF">2023-06-20T12:00:00Z</dcterms:modified>
</cp:coreProperties>
</file>